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140"/>
        <w:gridCol w:w="4935"/>
        <w:tblGridChange w:id="0">
          <w:tblGrid>
            <w:gridCol w:w="4950"/>
            <w:gridCol w:w="4140"/>
            <w:gridCol w:w="4935"/>
          </w:tblGrid>
        </w:tblGridChange>
      </w:tblGrid>
      <w:tr>
        <w:trPr>
          <w:cantSplit w:val="0"/>
          <w:trHeight w:val="967.4143066406249"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752600"/>
                  <wp:effectExtent b="0" l="0" r="0" t="0"/>
                  <wp:docPr id="345"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3009900" cy="17526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Mapa Interactivo de los Informes en Tiempo Real de Quejas, Asesorías, Capacitaciones y Solicitudes de Amnistía y Opiniones Consultivas.</w:t>
            </w:r>
          </w:p>
        </w:tc>
      </w:tr>
      <w:tr>
        <w:trPr>
          <w:cantSplit w:val="0"/>
          <w:trHeight w:val="66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Comisión de Derechos Humanos del Estado de México</w:t>
            </w:r>
          </w:p>
        </w:tc>
      </w:tr>
      <w:tr>
        <w:trPr>
          <w:cantSplit w:val="0"/>
          <w:trHeight w:val="982.414306640624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de Tecnologías de la Información y Comunicación; y la Unidad de Información, Planeación, Programación y Evaluación</w:t>
            </w:r>
          </w:p>
        </w:tc>
      </w:tr>
      <w:tr>
        <w:trPr>
          <w:cantSplit w:val="0"/>
          <w:trHeight w:val="6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https://www.codhem.org.mx/transparencia-proactiva/</w:t>
              </w:r>
            </w:hyperlink>
            <w:r w:rsidDel="00000000" w:rsidR="00000000" w:rsidRPr="00000000">
              <w:rPr>
                <w:rFonts w:ascii="Palatino Linotype" w:cs="Palatino Linotype" w:eastAsia="Palatino Linotype" w:hAnsi="Palatino Linotype"/>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2023</w:t>
            </w:r>
            <w:r w:rsidDel="00000000" w:rsidR="00000000" w:rsidRPr="00000000">
              <w:rPr>
                <w:rFonts w:ascii="Palatino Linotype" w:cs="Palatino Linotype" w:eastAsia="Palatino Linotype" w:hAnsi="Palatino Linotype"/>
                <w:rtl w:val="0"/>
              </w:rPr>
              <w:t xml:space="preserve"> y 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rtl w:val="0"/>
              </w:rPr>
              <w:t xml:space="preserve">100</w:t>
            </w:r>
            <w:r w:rsidDel="00000000" w:rsidR="00000000" w:rsidRPr="00000000">
              <w:rPr>
                <w:rtl w:val="0"/>
              </w:rPr>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Práctica reconocida en el año 2023</w:t>
            </w:r>
            <w:r w:rsidDel="00000000" w:rsidR="00000000" w:rsidRPr="00000000">
              <w:rPr>
                <w:rtl w:val="0"/>
              </w:rPr>
            </w:r>
          </w:p>
        </w:tc>
      </w:tr>
    </w:tbl>
    <w:p w:rsidR="00000000" w:rsidDel="00000000" w:rsidP="00000000" w:rsidRDefault="00000000" w:rsidRPr="00000000" w14:paraId="0000001C">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285"/>
        <w:gridCol w:w="7620"/>
        <w:tblGridChange w:id="0">
          <w:tblGrid>
            <w:gridCol w:w="6285"/>
            <w:gridCol w:w="7620"/>
          </w:tblGrid>
        </w:tblGridChange>
      </w:tblGrid>
      <w:tr>
        <w:trPr>
          <w:cantSplit w:val="0"/>
          <w:trHeight w:val="1699.4531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E">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que implementa tecnologías de Big Data y Open Data Services (ODS) para crear una plataforma de paneles interactivos que visualiza y analiza información de los trámites gestionados por la Comisión de Derechos Humanos del Estado de México (CODHEM). Mediante herramientas como Dataflow, Datamart y Business Intelligence, se presenta información clave de forma accesible y transparente en un micrositio llamado “Transparencia Proactiva”.</w:t>
            </w:r>
          </w:p>
          <w:p w:rsidR="00000000" w:rsidDel="00000000" w:rsidP="00000000" w:rsidRDefault="00000000" w:rsidRPr="00000000" w14:paraId="0000001F">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plataforma permite consultar datos en tiempo real sobre:</w:t>
            </w:r>
          </w:p>
          <w:p w:rsidR="00000000" w:rsidDel="00000000" w:rsidP="00000000" w:rsidRDefault="00000000" w:rsidRPr="00000000" w14:paraId="00000020">
            <w:pPr>
              <w:numPr>
                <w:ilvl w:val="0"/>
                <w:numId w:val="2"/>
              </w:numPr>
              <w:spacing w:after="0" w:line="240" w:lineRule="auto"/>
              <w:ind w:left="720" w:hanging="360"/>
              <w:jc w:val="both"/>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Total de trámites, clasificados por año, tipo, municipio, visitaduría, género y materia.</w:t>
            </w:r>
          </w:p>
          <w:p w:rsidR="00000000" w:rsidDel="00000000" w:rsidP="00000000" w:rsidRDefault="00000000" w:rsidRPr="00000000" w14:paraId="00000021">
            <w:pPr>
              <w:numPr>
                <w:ilvl w:val="0"/>
                <w:numId w:val="2"/>
              </w:numPr>
              <w:spacing w:after="0" w:line="240" w:lineRule="auto"/>
              <w:ind w:left="720" w:hanging="360"/>
              <w:jc w:val="both"/>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Quejas, con detalles de fechas, estatus, municipio, conclusión y materia.</w:t>
            </w:r>
          </w:p>
          <w:p w:rsidR="00000000" w:rsidDel="00000000" w:rsidP="00000000" w:rsidRDefault="00000000" w:rsidRPr="00000000" w14:paraId="00000022">
            <w:pPr>
              <w:numPr>
                <w:ilvl w:val="0"/>
                <w:numId w:val="2"/>
              </w:numPr>
              <w:spacing w:after="0" w:line="240" w:lineRule="auto"/>
              <w:ind w:left="720" w:hanging="360"/>
              <w:jc w:val="both"/>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Asesorías, filtradas por fecha, materia, visitaduría, género, grupo social y municipio.</w:t>
            </w:r>
          </w:p>
          <w:p w:rsidR="00000000" w:rsidDel="00000000" w:rsidP="00000000" w:rsidRDefault="00000000" w:rsidRPr="00000000" w14:paraId="00000023">
            <w:pPr>
              <w:numPr>
                <w:ilvl w:val="0"/>
                <w:numId w:val="2"/>
              </w:numPr>
              <w:spacing w:after="0" w:line="240" w:lineRule="auto"/>
              <w:ind w:left="720" w:hanging="360"/>
              <w:jc w:val="both"/>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Solicitudes de amnistía y opiniones consultivas, incluyendo número de casos, estatus, género, delito, colectivo o persona solicitante, centro penitenciario, medio de ingreso y situación jurídica.</w:t>
            </w:r>
          </w:p>
          <w:p w:rsidR="00000000" w:rsidDel="00000000" w:rsidP="00000000" w:rsidRDefault="00000000" w:rsidRPr="00000000" w14:paraId="00000024">
            <w:pPr>
              <w:numPr>
                <w:ilvl w:val="0"/>
                <w:numId w:val="2"/>
              </w:numPr>
              <w:spacing w:after="0" w:line="240" w:lineRule="auto"/>
              <w:ind w:left="720" w:hanging="360"/>
              <w:jc w:val="both"/>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Medidas reparatorias, informando tipos (compensación, no repetición, rehabilitación, restitución, satisfacción), autoridad destinataria y estatus.</w:t>
            </w:r>
          </w:p>
          <w:p w:rsidR="00000000" w:rsidDel="00000000" w:rsidP="00000000" w:rsidRDefault="00000000" w:rsidRPr="00000000" w14:paraId="00000025">
            <w:pPr>
              <w:numPr>
                <w:ilvl w:val="0"/>
                <w:numId w:val="2"/>
              </w:numPr>
              <w:spacing w:after="0" w:line="240" w:lineRule="auto"/>
              <w:ind w:left="720" w:hanging="360"/>
              <w:jc w:val="both"/>
              <w:rPr>
                <w:rFonts w:ascii="Palatino Linotype" w:cs="Palatino Linotype" w:eastAsia="Palatino Linotype" w:hAnsi="Palatino Linotype"/>
                <w:u w:val="none"/>
              </w:rPr>
            </w:pPr>
            <w:r w:rsidDel="00000000" w:rsidR="00000000" w:rsidRPr="00000000">
              <w:rPr>
                <w:rFonts w:ascii="Palatino Linotype" w:cs="Palatino Linotype" w:eastAsia="Palatino Linotype" w:hAnsi="Palatino Linotype"/>
                <w:rtl w:val="0"/>
              </w:rPr>
              <w:t xml:space="preserve">Diagnóstico Integral de Justicia Cívica, que evalúa si los 125 municipios aplican la Ley de Justicia Cívica conforme a derechos humanos, analizando aspectos como salud, condiciones de detención, seguridad jurídica, debido proceso e integridad personal de las personas detenidas.</w:t>
            </w:r>
          </w:p>
          <w:p w:rsidR="00000000" w:rsidDel="00000000" w:rsidP="00000000" w:rsidRDefault="00000000" w:rsidRPr="00000000" w14:paraId="00000026">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conjunto, la iniciativa busca fortalecer la cultura de respeto a los derechos humanos en el Estado de México, ofreciendo datos abiertos, dinámicos y de fácil interpretación para la ciudadanía.</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Ofrecer a la ciudadanía información útil, confiable y dinámica en tiempo real sobre trámites, quejas, asesorías, solicitudes de amnistía, opiniones consultivas, medidas reparatorias y el Diagnóstico Integral de Justicia Cívica, mejorando la interacción y la gestión de la información.</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B">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derivado de las jornadas de sensibilización realizadas por personal del Instituto de Transparencia, Acceso a la Información Pública y Protección de Datos Personales del Estado de México y Municipios, y con la finalidad de ofrecer a la ciudadanía información fidedigna, útil y relevante, que sirva para la toma de decisiones, tanto de autoridades como de ciudadanos.</w:t>
            </w:r>
          </w:p>
          <w:p w:rsidR="00000000" w:rsidDel="00000000" w:rsidP="00000000" w:rsidRDefault="00000000" w:rsidRPr="00000000" w14:paraId="0000002C">
            <w:pPr>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E">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w:t>
            </w:r>
            <w:r w:rsidDel="00000000" w:rsidR="00000000" w:rsidRPr="00000000">
              <w:rPr>
                <w:rFonts w:ascii="Palatino Linotype" w:cs="Palatino Linotype" w:eastAsia="Palatino Linotype" w:hAnsi="Palatino Linotype"/>
                <w:color w:val="1f1f1f"/>
                <w:rtl w:val="0"/>
              </w:rPr>
              <w:t xml:space="preserve"> de consultas, la participación ciudadana, los efectos positivos y los medios alternos de difusión de la información.</w:t>
            </w:r>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30">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Innovación: </w:t>
            </w:r>
          </w:p>
          <w:p w:rsidR="00000000" w:rsidDel="00000000" w:rsidP="00000000" w:rsidRDefault="00000000" w:rsidRPr="00000000" w14:paraId="00000031">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implementaron los informes en tiempo real del total de trámites que otorga esta Comisión de Derechos Humanos del Estado de México.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114300" distT="114300" distL="114300" distR="114300">
                  <wp:extent cx="3477577" cy="1794653"/>
                  <wp:effectExtent b="0" l="0" r="0" t="0"/>
                  <wp:docPr id="35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477577" cy="17946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spacing w:after="0" w:line="240" w:lineRule="auto"/>
        <w:ind w:left="-708" w:firstLine="0"/>
        <w:jc w:val="left"/>
        <w:rPr>
          <w:rFonts w:ascii="Palatino Linotype" w:cs="Palatino Linotype" w:eastAsia="Palatino Linotype" w:hAnsi="Palatino Linotype"/>
          <w:b w:val="1"/>
        </w:rPr>
      </w:pPr>
      <w:bookmarkStart w:colFirst="0" w:colLast="0" w:name="_heading=h.d3klj33y0rux" w:id="1"/>
      <w:bookmarkEnd w:id="1"/>
      <w:r w:rsidDel="00000000" w:rsidR="00000000" w:rsidRPr="00000000">
        <w:rPr>
          <w:rtl w:val="0"/>
        </w:rPr>
      </w:r>
    </w:p>
    <w:p w:rsidR="00000000" w:rsidDel="00000000" w:rsidP="00000000" w:rsidRDefault="00000000" w:rsidRPr="00000000" w14:paraId="00000034">
      <w:pPr>
        <w:spacing w:after="0" w:line="240" w:lineRule="auto"/>
        <w:ind w:left="-708" w:firstLine="0"/>
        <w:jc w:val="left"/>
        <w:rPr>
          <w:rFonts w:ascii="Palatino Linotype" w:cs="Palatino Linotype" w:eastAsia="Palatino Linotype" w:hAnsi="Palatino Linotype"/>
          <w:b w:val="1"/>
        </w:rPr>
      </w:pPr>
      <w:bookmarkStart w:colFirst="0" w:colLast="0" w:name="_heading=h.57j57ri8u14" w:id="2"/>
      <w:bookmarkEnd w:id="2"/>
      <w:r w:rsidDel="00000000" w:rsidR="00000000" w:rsidRPr="00000000">
        <w:rPr>
          <w:rtl w:val="0"/>
        </w:rPr>
      </w:r>
    </w:p>
    <w:p w:rsidR="00000000" w:rsidDel="00000000" w:rsidP="00000000" w:rsidRDefault="00000000" w:rsidRPr="00000000" w14:paraId="00000035">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3"/>
      <w:bookmarkEnd w:id="3"/>
      <w:r w:rsidDel="00000000" w:rsidR="00000000" w:rsidRPr="00000000">
        <w:rPr>
          <w:rFonts w:ascii="Palatino Linotype" w:cs="Palatino Linotype" w:eastAsia="Palatino Linotype" w:hAnsi="Palatino Linotype"/>
          <w:b w:val="1"/>
          <w:rtl w:val="0"/>
        </w:rPr>
        <w:t xml:space="preserve">EVALUACIÓN</w:t>
      </w:r>
    </w:p>
    <w:sdt>
      <w:sdtPr>
        <w:lock w:val="contentLocked"/>
        <w:id w:val="-216768175"/>
        <w:tag w:val="goog_rdk_0"/>
      </w:sdtPr>
      <w:sdtContent>
        <w:tbl>
          <w:tblPr>
            <w:tblStyle w:val="Table3"/>
            <w:tblW w:w="1413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1890"/>
            <w:gridCol w:w="4185"/>
            <w:gridCol w:w="4635"/>
            <w:tblGridChange w:id="0">
              <w:tblGrid>
                <w:gridCol w:w="3420"/>
                <w:gridCol w:w="1890"/>
                <w:gridCol w:w="4185"/>
                <w:gridCol w:w="463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58352" cy="1815300"/>
                      <wp:effectExtent b="0" l="0" r="0" t="0"/>
                      <wp:docPr id="359" name="image8.png"/>
                      <a:graphic>
                        <a:graphicData uri="http://schemas.openxmlformats.org/drawingml/2006/picture">
                          <pic:pic>
                            <pic:nvPicPr>
                              <pic:cNvPr id="0" name="image8.png"/>
                              <pic:cNvPicPr preferRelativeResize="0"/>
                            </pic:nvPicPr>
                            <pic:blipFill>
                              <a:blip r:embed="rId10"/>
                              <a:srcRect b="42612" l="0" r="0" t="0"/>
                              <a:stretch>
                                <a:fillRect/>
                              </a:stretch>
                            </pic:blipFill>
                            <pic:spPr>
                              <a:xfrm>
                                <a:off x="0" y="0"/>
                                <a:ext cx="2058352" cy="18153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que se presenta es en tiempo real, es decir, se va actualizando conforme se va generando la información, de tal manera que resulta muy confiable.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96477" cy="1533236"/>
                      <wp:effectExtent b="0" l="0" r="0" t="0"/>
                      <wp:docPr id="36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296477" cy="153323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tratarse de informes interactivos resultan muy comprensibles y fáciles de manejar , además que te permite visualizar la información mediante tablas.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48902" cy="1620505"/>
                      <wp:effectExtent b="0" l="0" r="0" t="0"/>
                      <wp:docPr id="34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648902" cy="1620505"/>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en tiempo real, siendo útil para la toma de decisiones.</w:t>
                </w:r>
              </w:p>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48877" cy="2206923"/>
                      <wp:effectExtent b="0" l="0" r="0" t="0"/>
                      <wp:docPr id="35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448877" cy="2206923"/>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ser información en tiempo real, se presenta información fidedigna, exacta y veraz.</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39377" cy="663796"/>
                      <wp:effectExtent b="0" l="0" r="0" t="0"/>
                      <wp:docPr id="34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639377" cy="66379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información.Los informes interactivos presentados en esta práctica, se relacionan entre sí, ya que los trámites, quejas, asesorías, y solicitudes de amnistía, son las acciones sustantivas realizadas por este Organismo.</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y presentada se obtiene directamente de las bases de datos de los sistemas de información de este Organismo.</w:t>
                </w:r>
              </w:p>
              <w:p w:rsidR="00000000" w:rsidDel="00000000" w:rsidP="00000000" w:rsidRDefault="00000000" w:rsidRPr="00000000" w14:paraId="0000006D">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datos de los informes interactivos de esta práctica de transparencia proactiva, contienen información de las principales actividades realizadas por esta Comisión Estatal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81350" cy="800100"/>
                      <wp:effectExtent b="0" l="0" r="0" t="0"/>
                      <wp:docPr id="354"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3181350" cy="8001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todo momento se tiene la última versión de la información, ya que los datos que se publican son informes en tiempo real.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29827" cy="545620"/>
                      <wp:effectExtent b="0" l="0" r="0" t="0"/>
                      <wp:docPr id="351"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2429827" cy="54562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informes interactivos sobre el total de trámites otorgados por este Organismo, así como el de quejas, permiten obtener la información en formato Excel, lo que permite al usuario reutilizar libremente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53602" cy="1321822"/>
                      <wp:effectExtent b="0" l="0" r="0" t="0"/>
                      <wp:docPr id="360"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2153602" cy="1321822"/>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1"/>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915602" cy="848955"/>
                      <wp:effectExtent b="0" l="0" r="0" t="0"/>
                      <wp:docPr id="352"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2915602" cy="84895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saber el número de visitas, el número total de usuarios activos, el tiempo de interacción, incluso saber la edad de la audiencia, y conocer la ciudad desde la cual se hace la búsqueda.</w:t>
                </w:r>
              </w:p>
              <w:p w:rsidR="00000000" w:rsidDel="00000000" w:rsidP="00000000" w:rsidRDefault="00000000" w:rsidRPr="00000000" w14:paraId="0000008F">
                <w:pPr>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1358900"/>
                      <wp:effectExtent b="0" l="0" r="0" t="0"/>
                      <wp:docPr id="35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2385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Encuesta de satisfacción que se encuentra dentro del micrositio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25027" cy="1323975"/>
                      <wp:effectExtent b="0" l="0" r="0" t="0"/>
                      <wp:docPr id="36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125027" cy="1323975"/>
                              </a:xfrm>
                              <a:prstGeom prst="rect"/>
                              <a:ln/>
                            </pic:spPr>
                          </pic:pic>
                        </a:graphicData>
                      </a:graphic>
                    </wp:inline>
                  </w:drawing>
                </w:r>
                <w:r w:rsidDel="00000000" w:rsidR="00000000" w:rsidRPr="00000000">
                  <w:rPr>
                    <w:rFonts w:ascii="Palatino Linotype" w:cs="Palatino Linotype" w:eastAsia="Palatino Linotype" w:hAnsi="Palatino Linotype"/>
                  </w:rPr>
                  <w:drawing>
                    <wp:inline distB="114300" distT="114300" distL="114300" distR="114300">
                      <wp:extent cx="427532" cy="1431302"/>
                      <wp:effectExtent b="0" l="0" r="0" t="0"/>
                      <wp:docPr id="350" name="image12.png"/>
                      <a:graphic>
                        <a:graphicData uri="http://schemas.openxmlformats.org/drawingml/2006/picture">
                          <pic:pic>
                            <pic:nvPicPr>
                              <pic:cNvPr id="0" name="image12.png"/>
                              <pic:cNvPicPr preferRelativeResize="0"/>
                            </pic:nvPicPr>
                            <pic:blipFill>
                              <a:blip r:embed="rId21"/>
                              <a:srcRect b="15807" l="0" r="61460" t="28562"/>
                              <a:stretch>
                                <a:fillRect/>
                              </a:stretch>
                            </pic:blipFill>
                            <pic:spPr>
                              <a:xfrm>
                                <a:off x="0" y="0"/>
                                <a:ext cx="427532" cy="1431302"/>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Encuesta de satisfacción que se encuentra dentro del micrositio, la cual ha permitido mejorar el contenido de la práctica implementada, a través de sus comentarios y/o sugerencias se ha renovado la calidad de la información</w:t>
                </w:r>
              </w:p>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39856" cy="372614"/>
                      <wp:effectExtent b="0" l="0" r="0" t="0"/>
                      <wp:docPr id="35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539856" cy="372614"/>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numPr>
                    <w:ilvl w:val="0"/>
                    <w:numId w:val="1"/>
                  </w:numPr>
                  <w:spacing w:after="0" w:lineRule="auto"/>
                  <w:ind w:left="295"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 disminución en la presentación de solicitudes de acceso a la información;</w:t>
                </w:r>
                <w:r w:rsidDel="00000000" w:rsidR="00000000" w:rsidRPr="00000000">
                  <w:rPr>
                    <w:rtl w:val="0"/>
                  </w:rPr>
                </w:r>
              </w:p>
              <w:p w:rsidR="00000000" w:rsidDel="00000000" w:rsidP="00000000" w:rsidRDefault="00000000" w:rsidRPr="00000000" w14:paraId="000000AF">
                <w:pPr>
                  <w:numPr>
                    <w:ilvl w:val="0"/>
                    <w:numId w:val="1"/>
                  </w:numPr>
                  <w:spacing w:after="0" w:lineRule="auto"/>
                  <w:ind w:left="295"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Perfeccionar la información generada para beneficio de la población; y</w:t>
                </w:r>
                <w:r w:rsidDel="00000000" w:rsidR="00000000" w:rsidRPr="00000000">
                  <w:rPr>
                    <w:rtl w:val="0"/>
                  </w:rPr>
                </w:r>
              </w:p>
              <w:p w:rsidR="00000000" w:rsidDel="00000000" w:rsidP="00000000" w:rsidRDefault="00000000" w:rsidRPr="00000000" w14:paraId="000000B0">
                <w:pPr>
                  <w:numPr>
                    <w:ilvl w:val="0"/>
                    <w:numId w:val="1"/>
                  </w:numPr>
                  <w:ind w:left="295"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Promover la participación ciudadana.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38500" cy="546100"/>
                      <wp:effectExtent b="0" l="0" r="0" t="0"/>
                      <wp:docPr id="348"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32385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difusión de esta práctica de transparencia proactiva, se realiza mediante distribución de dípticos los cuales dan a conocer este micrositio, mediante notas periodísticas y en diversas redes sociales. Asimismo, su difusión se ha realizado mediante presentaciones realizadas por la propia Presidenta de este Organismo.</w:t>
                </w:r>
              </w:p>
              <w:p w:rsidR="00000000" w:rsidDel="00000000" w:rsidP="00000000" w:rsidRDefault="00000000" w:rsidRPr="00000000" w14:paraId="000000BA">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181350" cy="749300"/>
                      <wp:effectExtent b="0" l="0" r="0" t="0"/>
                      <wp:docPr id="346"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3181350" cy="7493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C">
      <w:pPr>
        <w:spacing w:after="240" w:line="276" w:lineRule="auto"/>
        <w:ind w:left="-708" w:firstLine="0"/>
        <w:rPr>
          <w:rFonts w:ascii="Palatino Linotype" w:cs="Palatino Linotype" w:eastAsia="Palatino Linotype" w:hAnsi="Palatino Linotype"/>
          <w:b w:val="1"/>
        </w:rPr>
      </w:pPr>
      <w:bookmarkStart w:colFirst="0" w:colLast="0" w:name="_heading=h.uye03zr0ncmu" w:id="4"/>
      <w:bookmarkEnd w:id="4"/>
      <w:r w:rsidDel="00000000" w:rsidR="00000000" w:rsidRPr="00000000">
        <w:rPr>
          <w:rtl w:val="0"/>
        </w:rPr>
      </w:r>
    </w:p>
    <w:p w:rsidR="00000000" w:rsidDel="00000000" w:rsidP="00000000" w:rsidRDefault="00000000" w:rsidRPr="00000000" w14:paraId="000000BD">
      <w:pPr>
        <w:spacing w:after="0" w:line="240" w:lineRule="auto"/>
        <w:ind w:left="-708" w:firstLine="0"/>
        <w:jc w:val="center"/>
        <w:rPr>
          <w:rFonts w:ascii="Palatino Linotype" w:cs="Palatino Linotype" w:eastAsia="Palatino Linotype" w:hAnsi="Palatino Linotype"/>
          <w:b w:val="1"/>
        </w:rPr>
      </w:pPr>
      <w:bookmarkStart w:colFirst="0" w:colLast="0" w:name="_heading=h.87o3psfr7qoq" w:id="5"/>
      <w:bookmarkEnd w:id="5"/>
      <w:r w:rsidDel="00000000" w:rsidR="00000000" w:rsidRPr="00000000">
        <w:rPr>
          <w:rtl w:val="0"/>
        </w:rPr>
      </w:r>
    </w:p>
    <w:p w:rsidR="00000000" w:rsidDel="00000000" w:rsidP="00000000" w:rsidRDefault="00000000" w:rsidRPr="00000000" w14:paraId="000000BE">
      <w:pPr>
        <w:spacing w:after="0" w:line="240" w:lineRule="auto"/>
        <w:ind w:left="-708" w:firstLine="0"/>
        <w:jc w:val="center"/>
        <w:rPr>
          <w:rFonts w:ascii="Palatino Linotype" w:cs="Palatino Linotype" w:eastAsia="Palatino Linotype" w:hAnsi="Palatino Linotype"/>
          <w:b w:val="1"/>
        </w:rPr>
      </w:pPr>
      <w:bookmarkStart w:colFirst="0" w:colLast="0" w:name="_heading=h.g68ljhxqkpaz" w:id="6"/>
      <w:bookmarkEnd w:id="6"/>
      <w:r w:rsidDel="00000000" w:rsidR="00000000" w:rsidRPr="00000000">
        <w:rPr>
          <w:rtl w:val="0"/>
        </w:rPr>
      </w:r>
    </w:p>
    <w:p w:rsidR="00000000" w:rsidDel="00000000" w:rsidP="00000000" w:rsidRDefault="00000000" w:rsidRPr="00000000" w14:paraId="000000BF">
      <w:pPr>
        <w:jc w:val="both"/>
        <w:rPr>
          <w:rFonts w:ascii="Palatino Linotype" w:cs="Palatino Linotype" w:eastAsia="Palatino Linotype" w:hAnsi="Palatino Linotype"/>
        </w:rPr>
      </w:pPr>
      <w:bookmarkStart w:colFirst="0" w:colLast="0" w:name="_heading=h.1fob9te" w:id="7"/>
      <w:bookmarkEnd w:id="7"/>
      <w:r w:rsidDel="00000000" w:rsidR="00000000" w:rsidRPr="00000000">
        <w:rPr>
          <w:rtl w:val="0"/>
        </w:rPr>
      </w:r>
    </w:p>
    <w:p w:rsidR="00000000" w:rsidDel="00000000" w:rsidP="00000000" w:rsidRDefault="00000000" w:rsidRPr="00000000" w14:paraId="000000C0">
      <w:pPr>
        <w:jc w:val="both"/>
        <w:rPr>
          <w:rFonts w:ascii="Palatino Linotype" w:cs="Palatino Linotype" w:eastAsia="Palatino Linotype" w:hAnsi="Palatino Linotype"/>
        </w:rPr>
      </w:pPr>
      <w:r w:rsidDel="00000000" w:rsidR="00000000" w:rsidRPr="00000000">
        <w:rPr>
          <w:rtl w:val="0"/>
        </w:rPr>
      </w:r>
    </w:p>
    <w:sectPr>
      <w:headerReference r:id="rId25" w:type="default"/>
      <w:footerReference r:id="rId26"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58"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7" l="27473" r="25000" t="5794"/>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-1103944</wp:posOffset>
          </wp:positionH>
          <wp:positionV relativeFrom="paragraph">
            <wp:posOffset>-171447</wp:posOffset>
          </wp:positionV>
          <wp:extent cx="10086023" cy="7772400"/>
          <wp:effectExtent b="0" l="0" r="0" t="0"/>
          <wp:wrapNone/>
          <wp:docPr descr="Imagen que contiene Gráfico de superficie&#10;&#10;Descripción generada automáticamente" id="362" name="image9.png"/>
          <a:graphic>
            <a:graphicData uri="http://schemas.openxmlformats.org/drawingml/2006/picture">
              <pic:pic>
                <pic:nvPicPr>
                  <pic:cNvPr descr="Imagen que contiene Gráfico de superficie&#10;&#10;Descripción generada automáticamente" id="0" name="image9.png"/>
                  <pic:cNvPicPr preferRelativeResize="0"/>
                </pic:nvPicPr>
                <pic:blipFill>
                  <a:blip r:embed="rId2"/>
                  <a:srcRect b="0" l="0" r="0" t="0"/>
                  <a:stretch>
                    <a:fillRect/>
                  </a:stretch>
                </pic:blipFill>
                <pic:spPr>
                  <a:xfrm>
                    <a:off x="0" y="0"/>
                    <a:ext cx="10086023" cy="7772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95" w:hanging="360"/>
      </w:pPr>
      <w:rPr>
        <w:u w:val="none"/>
      </w:rPr>
    </w:lvl>
    <w:lvl w:ilvl="1">
      <w:start w:val="1"/>
      <w:numFmt w:val="bullet"/>
      <w:lvlText w:val="o"/>
      <w:lvlJc w:val="left"/>
      <w:pPr>
        <w:ind w:left="1015" w:hanging="360"/>
      </w:pPr>
      <w:rPr>
        <w:u w:val="none"/>
      </w:rPr>
    </w:lvl>
    <w:lvl w:ilvl="2">
      <w:start w:val="1"/>
      <w:numFmt w:val="bullet"/>
      <w:lvlText w:val="▪"/>
      <w:lvlJc w:val="left"/>
      <w:pPr>
        <w:ind w:left="1735" w:hanging="360"/>
      </w:pPr>
      <w:rPr>
        <w:u w:val="none"/>
      </w:rPr>
    </w:lvl>
    <w:lvl w:ilvl="3">
      <w:start w:val="1"/>
      <w:numFmt w:val="bullet"/>
      <w:lvlText w:val="●"/>
      <w:lvlJc w:val="left"/>
      <w:pPr>
        <w:ind w:left="2455" w:hanging="360"/>
      </w:pPr>
      <w:rPr>
        <w:u w:val="none"/>
      </w:rPr>
    </w:lvl>
    <w:lvl w:ilvl="4">
      <w:start w:val="1"/>
      <w:numFmt w:val="bullet"/>
      <w:lvlText w:val="o"/>
      <w:lvlJc w:val="left"/>
      <w:pPr>
        <w:ind w:left="3175" w:hanging="360"/>
      </w:pPr>
      <w:rPr>
        <w:u w:val="none"/>
      </w:rPr>
    </w:lvl>
    <w:lvl w:ilvl="5">
      <w:start w:val="1"/>
      <w:numFmt w:val="bullet"/>
      <w:lvlText w:val="▪"/>
      <w:lvlJc w:val="left"/>
      <w:pPr>
        <w:ind w:left="3895" w:hanging="360"/>
      </w:pPr>
      <w:rPr>
        <w:u w:val="none"/>
      </w:rPr>
    </w:lvl>
    <w:lvl w:ilvl="6">
      <w:start w:val="1"/>
      <w:numFmt w:val="bullet"/>
      <w:lvlText w:val="●"/>
      <w:lvlJc w:val="left"/>
      <w:pPr>
        <w:ind w:left="4615" w:hanging="360"/>
      </w:pPr>
      <w:rPr>
        <w:u w:val="none"/>
      </w:rPr>
    </w:lvl>
    <w:lvl w:ilvl="7">
      <w:start w:val="1"/>
      <w:numFmt w:val="bullet"/>
      <w:lvlText w:val="o"/>
      <w:lvlJc w:val="left"/>
      <w:pPr>
        <w:ind w:left="5335" w:hanging="360"/>
      </w:pPr>
      <w:rPr>
        <w:u w:val="none"/>
      </w:rPr>
    </w:lvl>
    <w:lvl w:ilvl="8">
      <w:start w:val="1"/>
      <w:numFmt w:val="bullet"/>
      <w:lvlText w:val="▪"/>
      <w:lvlJc w:val="left"/>
      <w:pPr>
        <w:ind w:left="6055"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3.png"/><Relationship Id="rId21" Type="http://schemas.openxmlformats.org/officeDocument/2006/relationships/image" Target="media/image12.png"/><Relationship Id="rId24" Type="http://schemas.openxmlformats.org/officeDocument/2006/relationships/image" Target="media/image13.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hyperlink" Target="https://www.codhem.org.mx/transparencia-proactiva/" TargetMode="External"/><Relationship Id="rId11" Type="http://schemas.openxmlformats.org/officeDocument/2006/relationships/image" Target="media/image11.png"/><Relationship Id="rId10" Type="http://schemas.openxmlformats.org/officeDocument/2006/relationships/image" Target="media/image8.png"/><Relationship Id="rId13" Type="http://schemas.openxmlformats.org/officeDocument/2006/relationships/image" Target="media/image16.png"/><Relationship Id="rId12" Type="http://schemas.openxmlformats.org/officeDocument/2006/relationships/image" Target="media/image6.png"/><Relationship Id="rId15" Type="http://schemas.openxmlformats.org/officeDocument/2006/relationships/image" Target="media/image15.png"/><Relationship Id="rId14" Type="http://schemas.openxmlformats.org/officeDocument/2006/relationships/image" Target="media/image2.png"/><Relationship Id="rId17" Type="http://schemas.openxmlformats.org/officeDocument/2006/relationships/image" Target="media/image18.png"/><Relationship Id="rId16" Type="http://schemas.openxmlformats.org/officeDocument/2006/relationships/image" Target="media/image17.png"/><Relationship Id="rId19" Type="http://schemas.openxmlformats.org/officeDocument/2006/relationships/image" Target="media/image5.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joMgSCJ31+5Xrm4aFs2KwoeN0A==">CgMxLjAaHwoBMBIaChgICVIUChJ0YWJsZS5neTgyczJ6ZmV3ejcyCWguMzBqMHpsbDIOaC5kM2tsajMzeTBydXgyDWguNTdqNTdyaTh1MTQyDmgueTJmZG5ib2Z0aDI5Mg5oLnV5ZTAzenIwbmNtdTIOaC44N28zcHNmcjdxb3EyDmguZzY4bGpoeHFrcGF6MgloLjFmb2I5dGU4AHIhMWVfZ2RDNmVCeFBQdEVscndyY1hLNm5rcDlJVUNqMk0z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